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12CF">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ascii="仿宋" w:hAnsi="仿宋" w:eastAsia="仿宋" w:cs="仿宋"/>
          <w:b/>
          <w:bCs/>
          <w:color w:val="000000"/>
          <w:sz w:val="28"/>
          <w:szCs w:val="28"/>
          <w:highlight w:val="white"/>
          <w:u w:val="none"/>
          <w:lang w:eastAsia="zh-CN"/>
        </w:rPr>
      </w:pPr>
      <w:r>
        <w:rPr>
          <w:rFonts w:hint="eastAsia" w:ascii="仿宋" w:hAnsi="仿宋" w:eastAsia="仿宋" w:cs="仿宋"/>
          <w:b/>
          <w:bCs/>
          <w:color w:val="000000"/>
          <w:sz w:val="28"/>
          <w:szCs w:val="28"/>
          <w:highlight w:val="white"/>
          <w:u w:val="none"/>
          <w:lang w:eastAsia="zh-CN"/>
        </w:rPr>
        <w:t>宿迁市宿豫区残疾人定点康复服务机构采购项目征求意见公告</w:t>
      </w:r>
    </w:p>
    <w:p w14:paraId="3A374027">
      <w:pPr>
        <w:spacing w:line="500" w:lineRule="exact"/>
        <w:ind w:firstLine="480" w:firstLineChars="200"/>
        <w:rPr>
          <w:rFonts w:hint="eastAsia"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eastAsia="zh-CN"/>
        </w:rPr>
        <w:t>宿迁市宿豫区残疾人联合会</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lang w:eastAsia="zh-CN"/>
        </w:rPr>
        <w:t>宿迁市宿豫区残疾人定点康复服务机构采购项目</w:t>
      </w:r>
      <w:r>
        <w:rPr>
          <w:rFonts w:hint="eastAsia" w:ascii="仿宋" w:hAnsi="仿宋" w:eastAsia="仿宋" w:cs="仿宋"/>
          <w:color w:val="000000"/>
          <w:sz w:val="24"/>
          <w:szCs w:val="24"/>
          <w:highlight w:val="white"/>
        </w:rPr>
        <w:t>进行市场调研，邀请合格的供应商参与市场调研。有关事项如下：</w:t>
      </w:r>
    </w:p>
    <w:p w14:paraId="5AC72AD9">
      <w:pPr>
        <w:spacing w:line="500" w:lineRule="exact"/>
        <w:ind w:firstLine="482" w:firstLineChars="200"/>
        <w:rPr>
          <w:rFonts w:hint="eastAsia"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2CCEB9F6">
      <w:pPr>
        <w:spacing w:line="500" w:lineRule="exact"/>
        <w:ind w:firstLine="480" w:firstLineChars="200"/>
        <w:rPr>
          <w:rFonts w:hint="eastAsia" w:ascii="仿宋" w:hAnsi="仿宋" w:eastAsia="仿宋" w:cs="仿宋"/>
          <w:sz w:val="24"/>
          <w:szCs w:val="24"/>
          <w:u w:val="single"/>
          <w:lang w:eastAsia="zh-CN"/>
        </w:rPr>
      </w:pPr>
      <w:r>
        <w:rPr>
          <w:rFonts w:hint="eastAsia" w:ascii="仿宋" w:hAnsi="仿宋" w:eastAsia="仿宋" w:cs="仿宋"/>
          <w:kern w:val="0"/>
          <w:sz w:val="24"/>
          <w:szCs w:val="24"/>
          <w:highlight w:val="white"/>
        </w:rPr>
        <w:t>（一）项目名称：</w:t>
      </w:r>
      <w:r>
        <w:rPr>
          <w:rFonts w:hint="eastAsia" w:ascii="仿宋" w:hAnsi="仿宋" w:eastAsia="仿宋" w:cs="仿宋"/>
          <w:kern w:val="0"/>
          <w:sz w:val="24"/>
          <w:szCs w:val="24"/>
          <w:highlight w:val="white"/>
          <w:lang w:eastAsia="zh-CN"/>
        </w:rPr>
        <w:t>宿迁市宿豫区残疾人定点康复服务机构采购项目</w:t>
      </w:r>
    </w:p>
    <w:p w14:paraId="6689FE19">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52"/>
        <w:gridCol w:w="4217"/>
        <w:gridCol w:w="1239"/>
      </w:tblGrid>
      <w:tr w14:paraId="5609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D654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rPr>
            </w:pPr>
            <w:bookmarkStart w:id="0" w:name="_Hlk109058146"/>
            <w:r>
              <w:rPr>
                <w:rFonts w:hint="eastAsia" w:ascii="仿宋" w:hAnsi="仿宋" w:eastAsia="仿宋" w:cs="仿宋"/>
                <w:kern w:val="0"/>
                <w:sz w:val="24"/>
                <w:szCs w:val="24"/>
              </w:rPr>
              <w:t>序号</w:t>
            </w:r>
          </w:p>
        </w:tc>
        <w:tc>
          <w:tcPr>
            <w:tcW w:w="1852" w:type="dxa"/>
            <w:vAlign w:val="center"/>
          </w:tcPr>
          <w:p w14:paraId="63B9A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标的</w:t>
            </w:r>
          </w:p>
        </w:tc>
        <w:tc>
          <w:tcPr>
            <w:tcW w:w="4217" w:type="dxa"/>
            <w:vAlign w:val="center"/>
          </w:tcPr>
          <w:p w14:paraId="3D087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主要用途及功能</w:t>
            </w:r>
          </w:p>
        </w:tc>
        <w:tc>
          <w:tcPr>
            <w:tcW w:w="1239" w:type="dxa"/>
            <w:vAlign w:val="center"/>
          </w:tcPr>
          <w:p w14:paraId="41E6FD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估算价（万元）</w:t>
            </w:r>
          </w:p>
        </w:tc>
      </w:tr>
      <w:tr w14:paraId="4383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EE0A8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52" w:type="dxa"/>
            <w:vAlign w:val="center"/>
          </w:tcPr>
          <w:p w14:paraId="74AD2C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宿迁市宿豫区残疾人定点康复服务机构采购项目</w:t>
            </w:r>
          </w:p>
        </w:tc>
        <w:tc>
          <w:tcPr>
            <w:tcW w:w="4217" w:type="dxa"/>
            <w:vAlign w:val="center"/>
          </w:tcPr>
          <w:p w14:paraId="4EB97A1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本项目共分3个采购包</w:t>
            </w:r>
          </w:p>
          <w:p w14:paraId="4997647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采购包1：</w:t>
            </w:r>
            <w:r>
              <w:rPr>
                <w:rFonts w:hint="eastAsia" w:ascii="仿宋" w:hAnsi="仿宋" w:eastAsia="仿宋" w:cs="仿宋"/>
                <w:kern w:val="0"/>
                <w:sz w:val="24"/>
                <w:szCs w:val="24"/>
                <w:lang w:eastAsia="zh-CN"/>
              </w:rPr>
              <w:t>针对性提供孤独症残疾康复服务，暂按160人计，以实际服务结算。</w:t>
            </w:r>
          </w:p>
          <w:p w14:paraId="261FECA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采购包2：</w:t>
            </w:r>
            <w:r>
              <w:rPr>
                <w:rFonts w:hint="eastAsia" w:ascii="仿宋" w:hAnsi="仿宋" w:eastAsia="仿宋" w:cs="仿宋"/>
                <w:kern w:val="0"/>
                <w:sz w:val="24"/>
                <w:szCs w:val="24"/>
                <w:lang w:eastAsia="zh-CN"/>
              </w:rPr>
              <w:t>针对性提供听力、言语康复服务，</w:t>
            </w:r>
            <w:r>
              <w:rPr>
                <w:rFonts w:hint="eastAsia" w:ascii="仿宋" w:hAnsi="仿宋" w:eastAsia="仿宋" w:cs="仿宋"/>
                <w:kern w:val="0"/>
                <w:sz w:val="24"/>
                <w:szCs w:val="24"/>
                <w:lang w:val="en-US" w:eastAsia="zh-CN"/>
              </w:rPr>
              <w:t>暂按35人计，以实际服务结算。</w:t>
            </w:r>
          </w:p>
          <w:p w14:paraId="010BDC4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采购包3：</w:t>
            </w:r>
            <w:r>
              <w:rPr>
                <w:rFonts w:hint="eastAsia" w:ascii="仿宋" w:hAnsi="仿宋" w:eastAsia="仿宋" w:cs="仿宋"/>
                <w:kern w:val="0"/>
                <w:sz w:val="24"/>
                <w:szCs w:val="24"/>
                <w:lang w:eastAsia="zh-CN"/>
              </w:rPr>
              <w:t>针对性提供智力康复服务，暂按20人计，以实际服务结算。</w:t>
            </w:r>
            <w:r>
              <w:rPr>
                <w:rFonts w:hint="eastAsia" w:ascii="仿宋" w:hAnsi="仿宋" w:eastAsia="仿宋" w:cs="仿宋"/>
                <w:kern w:val="0"/>
                <w:sz w:val="24"/>
                <w:szCs w:val="24"/>
                <w:lang w:val="en-US" w:eastAsia="en-US"/>
              </w:rPr>
              <w:t>（详见</w:t>
            </w:r>
            <w:r>
              <w:rPr>
                <w:rFonts w:hint="eastAsia" w:ascii="仿宋" w:hAnsi="仿宋" w:eastAsia="仿宋" w:cs="仿宋"/>
                <w:kern w:val="0"/>
                <w:sz w:val="24"/>
                <w:szCs w:val="24"/>
                <w:lang w:val="en-US" w:eastAsia="zh-CN"/>
              </w:rPr>
              <w:t>第四章</w:t>
            </w:r>
            <w:r>
              <w:rPr>
                <w:rFonts w:hint="eastAsia" w:ascii="仿宋" w:hAnsi="仿宋" w:eastAsia="仿宋" w:cs="仿宋"/>
                <w:kern w:val="0"/>
                <w:sz w:val="24"/>
                <w:szCs w:val="24"/>
                <w:lang w:val="en-US" w:eastAsia="en-US"/>
              </w:rPr>
              <w:t>采购</w:t>
            </w:r>
            <w:r>
              <w:rPr>
                <w:rFonts w:hint="eastAsia" w:ascii="仿宋" w:hAnsi="仿宋" w:eastAsia="仿宋" w:cs="仿宋"/>
                <w:kern w:val="0"/>
                <w:sz w:val="24"/>
                <w:szCs w:val="24"/>
                <w:lang w:val="en-US" w:eastAsia="zh-CN"/>
              </w:rPr>
              <w:t>需求部分</w:t>
            </w:r>
            <w:r>
              <w:rPr>
                <w:rFonts w:hint="eastAsia" w:ascii="仿宋" w:hAnsi="仿宋" w:eastAsia="仿宋" w:cs="仿宋"/>
                <w:kern w:val="0"/>
                <w:sz w:val="24"/>
                <w:szCs w:val="24"/>
                <w:lang w:val="en-US" w:eastAsia="en-US"/>
              </w:rPr>
              <w:t>）</w:t>
            </w:r>
            <w:bookmarkStart w:id="3" w:name="_GoBack"/>
            <w:bookmarkEnd w:id="3"/>
          </w:p>
          <w:p w14:paraId="7B14704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注：本项目供应商可以任意选择一个采购包进行响应，也可以同时选择多个采购包进行响应，兼投兼中</w:t>
            </w:r>
            <w:r>
              <w:rPr>
                <w:rFonts w:hint="eastAsia" w:ascii="仿宋" w:hAnsi="仿宋" w:eastAsia="仿宋" w:cs="仿宋"/>
                <w:b w:val="0"/>
                <w:bCs w:val="0"/>
                <w:i w:val="0"/>
                <w:iCs w:val="0"/>
                <w:color w:val="auto"/>
                <w:sz w:val="24"/>
                <w:highlight w:val="none"/>
                <w:lang w:val="en-US" w:eastAsia="zh-CN"/>
              </w:rPr>
              <w:t>。</w:t>
            </w:r>
          </w:p>
        </w:tc>
        <w:tc>
          <w:tcPr>
            <w:tcW w:w="1239" w:type="dxa"/>
            <w:vAlign w:val="center"/>
          </w:tcPr>
          <w:p w14:paraId="77052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372</w:t>
            </w:r>
          </w:p>
        </w:tc>
      </w:tr>
      <w:bookmarkEnd w:id="0"/>
    </w:tbl>
    <w:p w14:paraId="2D1883BF">
      <w:pPr>
        <w:spacing w:line="500" w:lineRule="exact"/>
        <w:ind w:firstLine="482" w:firstLineChars="200"/>
        <w:rPr>
          <w:rFonts w:hint="eastAsia" w:ascii="仿宋" w:hAnsi="仿宋" w:eastAsia="仿宋" w:cs="仿宋"/>
          <w:kern w:val="0"/>
          <w:sz w:val="24"/>
          <w:szCs w:val="24"/>
        </w:rPr>
      </w:pPr>
      <w:r>
        <w:rPr>
          <w:rFonts w:hint="eastAsia" w:ascii="仿宋" w:hAnsi="仿宋" w:eastAsia="仿宋" w:cs="仿宋"/>
          <w:b/>
          <w:sz w:val="24"/>
          <w:szCs w:val="24"/>
          <w:highlight w:val="white"/>
        </w:rPr>
        <w:t>二、供应商资格要求</w:t>
      </w:r>
    </w:p>
    <w:p w14:paraId="3B92BA1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highlight w:val="white"/>
        </w:rPr>
      </w:pPr>
      <w:r>
        <w:rPr>
          <w:rFonts w:hint="eastAsia" w:ascii="仿宋" w:hAnsi="仿宋" w:eastAsia="仿宋" w:cs="仿宋"/>
          <w:b w:val="0"/>
          <w:bCs/>
          <w:sz w:val="24"/>
          <w:szCs w:val="24"/>
          <w:highlight w:val="white"/>
        </w:rPr>
        <w:t>（一）具备《中华人民共和国政府采购法》第二十二条第一款规定的6项条件（按要求提供声明及信用承诺）；</w:t>
      </w:r>
    </w:p>
    <w:p w14:paraId="3903001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highlight w:val="white"/>
        </w:rPr>
      </w:pPr>
      <w:r>
        <w:rPr>
          <w:rFonts w:hint="eastAsia" w:ascii="仿宋" w:hAnsi="仿宋" w:eastAsia="仿宋" w:cs="仿宋"/>
          <w:b w:val="0"/>
          <w:bCs/>
          <w:sz w:val="24"/>
          <w:szCs w:val="24"/>
          <w:highlight w:val="white"/>
        </w:rPr>
        <w:t>（二）信用信息。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4F40A9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highlight w:val="white"/>
        </w:rPr>
      </w:pPr>
      <w:r>
        <w:rPr>
          <w:rFonts w:hint="eastAsia" w:ascii="仿宋" w:hAnsi="仿宋" w:eastAsia="仿宋" w:cs="仿宋"/>
          <w:b w:val="0"/>
          <w:bCs/>
          <w:sz w:val="24"/>
          <w:szCs w:val="24"/>
          <w:highlight w:val="white"/>
        </w:rPr>
        <w:t>（三）落实政府采购政策需满足的资格要求：无。</w:t>
      </w:r>
    </w:p>
    <w:p w14:paraId="0AFB736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highlight w:val="white"/>
        </w:rPr>
      </w:pPr>
      <w:r>
        <w:rPr>
          <w:rFonts w:hint="eastAsia" w:ascii="仿宋" w:hAnsi="仿宋" w:eastAsia="仿宋" w:cs="仿宋"/>
          <w:b w:val="0"/>
          <w:bCs/>
          <w:sz w:val="24"/>
          <w:szCs w:val="24"/>
          <w:highlight w:val="white"/>
        </w:rPr>
        <w:t>（四）本项目的特定资格要求：</w:t>
      </w:r>
    </w:p>
    <w:p w14:paraId="6AFE99F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采购包1（孤独症康复服务机构）特定资格要求：</w:t>
      </w:r>
    </w:p>
    <w:p w14:paraId="6EE1C8F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en-US"/>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val="en-US" w:eastAsia="en-US"/>
        </w:rPr>
        <w:t>具有独立法人资格，包括事业单位法人资质的医疗机构、教育机构、残疾人康复机构</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en-US" w:eastAsia="en-US"/>
        </w:rPr>
        <w:t>企业法人资质的服务机构;民办非企业单位法人资质的社会服务机构。业务范围</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lang w:val="en-US" w:eastAsia="en-US"/>
        </w:rPr>
        <w:t>包括孤独症儿童康复训练服务相关内容。</w:t>
      </w:r>
    </w:p>
    <w:p w14:paraId="24496787">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s="仿宋"/>
          <w:i w:val="0"/>
          <w:iCs w:val="0"/>
          <w:color w:val="auto"/>
          <w:sz w:val="24"/>
          <w:szCs w:val="24"/>
          <w:highlight w:val="none"/>
          <w:lang w:val="en-US" w:eastAsia="en-US"/>
        </w:rPr>
      </w:pPr>
      <w:r>
        <w:rPr>
          <w:rFonts w:hint="eastAsia" w:ascii="仿宋" w:hAnsi="仿宋" w:eastAsia="仿宋"/>
          <w:color w:val="auto"/>
          <w:sz w:val="24"/>
          <w:szCs w:val="24"/>
          <w:highlight w:val="none"/>
          <w:lang w:val="en-US" w:eastAsia="en-US"/>
        </w:rPr>
        <w:t>从事教育康复应有所属地教育行政部门颁发的办学许可证或有当地特殊教育指导中心确定的公办学校合作开展康教融合服务的协议，从事医疗康复应取得《医疗机构执业许可证》或《诊所备案证》</w:t>
      </w:r>
      <w:r>
        <w:rPr>
          <w:rFonts w:hint="eastAsia" w:ascii="仿宋" w:hAnsi="仿宋" w:eastAsia="仿宋" w:cs="仿宋"/>
          <w:i w:val="0"/>
          <w:iCs w:val="0"/>
          <w:color w:val="auto"/>
          <w:sz w:val="24"/>
          <w:szCs w:val="24"/>
          <w:highlight w:val="none"/>
          <w:lang w:val="en-US" w:eastAsia="en-US"/>
        </w:rPr>
        <w:t>。</w:t>
      </w:r>
    </w:p>
    <w:p w14:paraId="4DA28660">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2、消防达标：</w:t>
      </w:r>
    </w:p>
    <w:p w14:paraId="29402CC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符合国家《建筑防火通用规范》（GB55037-2022）中关于“儿童活动场所”住建部第51号令)规定，儿童室内活动场所总建筑面积大于1000平方米以上的机构，建设前应取得建设工程消防设计审查合格意见书，竣工后应取得建设工程消防验收合格意见书；儿童室内活动场所总建筑面积1000平方米以下的机构，应在建设工程竣工验收合格之日起五个工作日内，向消防设计审查验收主管部门备案，并取得备案合格凭证。</w:t>
      </w:r>
    </w:p>
    <w:p w14:paraId="03D42E2B">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属于</w:t>
      </w:r>
      <w:r>
        <w:rPr>
          <w:rFonts w:hint="eastAsia" w:ascii="仿宋" w:hAnsi="仿宋" w:eastAsia="仿宋"/>
          <w:color w:val="auto"/>
          <w:sz w:val="24"/>
          <w:szCs w:val="24"/>
          <w:highlight w:val="none"/>
          <w:lang w:val="en-US" w:eastAsia="en-US"/>
        </w:rPr>
        <w:t>(住建部第51号令</w:t>
      </w:r>
      <w:r>
        <w:rPr>
          <w:rFonts w:hint="eastAsia" w:ascii="仿宋" w:hAnsi="仿宋" w:eastAsia="仿宋"/>
          <w:color w:val="auto"/>
          <w:sz w:val="24"/>
          <w:szCs w:val="24"/>
          <w:highlight w:val="none"/>
          <w:lang w:val="en-US" w:eastAsia="zh-CN"/>
        </w:rPr>
        <w:t>，2020年6月1日期执行</w:t>
      </w:r>
      <w:r>
        <w:rPr>
          <w:rFonts w:hint="eastAsia" w:ascii="仿宋" w:hAnsi="仿宋" w:eastAsia="仿宋"/>
          <w:color w:val="auto"/>
          <w:sz w:val="24"/>
          <w:szCs w:val="24"/>
          <w:highlight w:val="none"/>
          <w:lang w:val="en-US" w:eastAsia="en-US"/>
        </w:rPr>
        <w:t>)</w:t>
      </w:r>
      <w:r>
        <w:rPr>
          <w:rFonts w:hint="eastAsia" w:ascii="仿宋" w:hAnsi="仿宋" w:eastAsia="仿宋"/>
          <w:color w:val="auto"/>
          <w:sz w:val="24"/>
          <w:szCs w:val="24"/>
          <w:highlight w:val="none"/>
          <w:lang w:val="en-US" w:eastAsia="zh-CN"/>
        </w:rPr>
        <w:t>实施前的建筑，场所建设通过属地消防部门建设（筑）工程消防验收，取得《建设工程竣工验收备案凭证》或《建设工程消防验收意见书》或《建筑工程消防设计验收意见书》。</w:t>
      </w:r>
    </w:p>
    <w:p w14:paraId="78C4F8F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采购包2（听力、言语康复服务机构）特定资格要求：</w:t>
      </w:r>
    </w:p>
    <w:p w14:paraId="598BBE52">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en-US"/>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val="en-US" w:eastAsia="en-US"/>
        </w:rPr>
        <w:t>具有独立法人资格，包括事业单位法人资质的医疗机构、教育机构、残疾人康复机构;企业法人资质的服务机构;民办非企业单位法人资质的社会服务机构。业务范围</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lang w:val="en-US" w:eastAsia="en-US"/>
        </w:rPr>
        <w:t>包括</w:t>
      </w:r>
      <w:r>
        <w:rPr>
          <w:rFonts w:hint="eastAsia" w:ascii="仿宋" w:hAnsi="仿宋" w:eastAsia="仿宋"/>
          <w:color w:val="auto"/>
          <w:sz w:val="24"/>
          <w:szCs w:val="24"/>
          <w:highlight w:val="none"/>
          <w:lang w:val="en-US" w:eastAsia="zh-CN"/>
        </w:rPr>
        <w:t>听力言语</w:t>
      </w:r>
      <w:r>
        <w:rPr>
          <w:rFonts w:hint="eastAsia" w:ascii="仿宋" w:hAnsi="仿宋" w:eastAsia="仿宋"/>
          <w:color w:val="auto"/>
          <w:sz w:val="24"/>
          <w:szCs w:val="24"/>
          <w:highlight w:val="none"/>
          <w:lang w:val="en-US" w:eastAsia="en-US"/>
        </w:rPr>
        <w:t>儿童康复服务</w:t>
      </w:r>
      <w:r>
        <w:rPr>
          <w:rFonts w:hint="eastAsia" w:ascii="仿宋" w:hAnsi="仿宋" w:eastAsia="仿宋"/>
          <w:color w:val="auto"/>
          <w:sz w:val="24"/>
          <w:szCs w:val="24"/>
          <w:highlight w:val="none"/>
          <w:lang w:val="en-US" w:eastAsia="zh-CN"/>
        </w:rPr>
        <w:t>等</w:t>
      </w:r>
      <w:r>
        <w:rPr>
          <w:rFonts w:hint="eastAsia" w:ascii="仿宋" w:hAnsi="仿宋" w:eastAsia="仿宋"/>
          <w:color w:val="auto"/>
          <w:sz w:val="24"/>
          <w:szCs w:val="24"/>
          <w:highlight w:val="none"/>
          <w:lang w:val="en-US" w:eastAsia="en-US"/>
        </w:rPr>
        <w:t>相关内容。</w:t>
      </w:r>
    </w:p>
    <w:p w14:paraId="6F1BD0D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s="仿宋"/>
          <w:i w:val="0"/>
          <w:iCs w:val="0"/>
          <w:color w:val="auto"/>
          <w:sz w:val="24"/>
          <w:szCs w:val="24"/>
          <w:highlight w:val="none"/>
          <w:lang w:val="en-US" w:eastAsia="en-US"/>
        </w:rPr>
      </w:pPr>
      <w:r>
        <w:rPr>
          <w:rFonts w:hint="eastAsia" w:ascii="仿宋" w:hAnsi="仿宋" w:eastAsia="仿宋"/>
          <w:color w:val="auto"/>
          <w:sz w:val="24"/>
          <w:szCs w:val="24"/>
          <w:highlight w:val="none"/>
          <w:lang w:val="en-US" w:eastAsia="en-US"/>
        </w:rPr>
        <w:t>应有所属地教育行政部门颁发的办学许可证或有当地特殊教育指导中心确定的公办学校合作开展康教融合服务的协议</w:t>
      </w:r>
      <w:r>
        <w:rPr>
          <w:rFonts w:hint="eastAsia" w:ascii="仿宋" w:hAnsi="仿宋" w:eastAsia="仿宋" w:cs="仿宋"/>
          <w:i w:val="0"/>
          <w:iCs w:val="0"/>
          <w:color w:val="auto"/>
          <w:sz w:val="24"/>
          <w:szCs w:val="24"/>
          <w:highlight w:val="none"/>
          <w:lang w:val="en-US" w:eastAsia="en-US"/>
        </w:rPr>
        <w:t>。</w:t>
      </w:r>
    </w:p>
    <w:p w14:paraId="60678A3C">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2、消防达标：</w:t>
      </w:r>
    </w:p>
    <w:p w14:paraId="31AFE0ED">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符合国家《建筑防火通用规范》（GB55037-2022）中关于“儿童活动场所”住建部第51号令)规定，儿童室内活动场所总建筑面积大于1000平方米以上的机构，建设前应取得建设工程消防设计审查合格意见书，竣工后应取得建设工程消防验收合格意见书；儿童室内活动场所总建筑面积1000平方米以下的机构，应在建设工程竣工验收合格之日起五个工作日内，向消防设计审查验收主管部门备案，并取得备案合格凭证。</w:t>
      </w:r>
    </w:p>
    <w:p w14:paraId="0A833B14">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属于</w:t>
      </w:r>
      <w:r>
        <w:rPr>
          <w:rFonts w:hint="eastAsia" w:ascii="仿宋" w:hAnsi="仿宋" w:eastAsia="仿宋"/>
          <w:color w:val="auto"/>
          <w:sz w:val="24"/>
          <w:szCs w:val="24"/>
          <w:highlight w:val="none"/>
          <w:lang w:val="en-US" w:eastAsia="en-US"/>
        </w:rPr>
        <w:t>(住建部第51号令</w:t>
      </w:r>
      <w:r>
        <w:rPr>
          <w:rFonts w:hint="eastAsia" w:ascii="仿宋" w:hAnsi="仿宋" w:eastAsia="仿宋"/>
          <w:color w:val="auto"/>
          <w:sz w:val="24"/>
          <w:szCs w:val="24"/>
          <w:highlight w:val="none"/>
          <w:lang w:val="en-US" w:eastAsia="zh-CN"/>
        </w:rPr>
        <w:t>，2020年6月1日期执行</w:t>
      </w:r>
      <w:r>
        <w:rPr>
          <w:rFonts w:hint="eastAsia" w:ascii="仿宋" w:hAnsi="仿宋" w:eastAsia="仿宋"/>
          <w:color w:val="auto"/>
          <w:sz w:val="24"/>
          <w:szCs w:val="24"/>
          <w:highlight w:val="none"/>
          <w:lang w:val="en-US" w:eastAsia="en-US"/>
        </w:rPr>
        <w:t>)</w:t>
      </w:r>
      <w:r>
        <w:rPr>
          <w:rFonts w:hint="eastAsia" w:ascii="仿宋" w:hAnsi="仿宋" w:eastAsia="仿宋"/>
          <w:color w:val="auto"/>
          <w:sz w:val="24"/>
          <w:szCs w:val="24"/>
          <w:highlight w:val="none"/>
          <w:lang w:val="en-US" w:eastAsia="zh-CN"/>
        </w:rPr>
        <w:t>实施前的建筑，场所建设通过属地消防部门建设（筑）工程消防验收，取得《建设工程竣工验收备案凭证》或《建设工程消防验收意见书》或《建筑工程消防设计验收意见书》。</w:t>
      </w:r>
    </w:p>
    <w:p w14:paraId="0B74EE02">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采购包3（智力康复服务机构）特定资格要求：</w:t>
      </w:r>
    </w:p>
    <w:p w14:paraId="7CF900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0"/>
        <w:textAlignment w:val="auto"/>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lang w:val="en-US" w:eastAsia="zh-CN" w:bidi="ar-SA"/>
        </w:rPr>
        <w:t>1、</w:t>
      </w:r>
      <w:r>
        <w:rPr>
          <w:rFonts w:hint="eastAsia" w:ascii="仿宋" w:hAnsi="仿宋" w:eastAsia="仿宋"/>
          <w:color w:val="auto"/>
          <w:sz w:val="24"/>
          <w:szCs w:val="24"/>
          <w:highlight w:val="none"/>
          <w:lang w:val="en-US" w:eastAsia="en-US"/>
        </w:rPr>
        <w:t>具有独立法人资格，包括事业单位法人资质的医疗机构、教育机构、残疾人康复机构;企业法人资质的服务机构;民办非企业单位法人资质的社会服务机构。业务范围</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lang w:val="en-US" w:eastAsia="en-US"/>
        </w:rPr>
        <w:t>包括</w:t>
      </w:r>
      <w:r>
        <w:rPr>
          <w:rFonts w:hint="eastAsia" w:ascii="仿宋" w:hAnsi="仿宋" w:eastAsia="仿宋"/>
          <w:color w:val="auto"/>
          <w:sz w:val="24"/>
          <w:szCs w:val="24"/>
          <w:highlight w:val="none"/>
          <w:lang w:val="en-US" w:eastAsia="zh-CN"/>
        </w:rPr>
        <w:t>智力残疾</w:t>
      </w:r>
      <w:r>
        <w:rPr>
          <w:rFonts w:hint="eastAsia" w:ascii="仿宋" w:hAnsi="仿宋" w:eastAsia="仿宋"/>
          <w:color w:val="auto"/>
          <w:sz w:val="24"/>
          <w:szCs w:val="24"/>
          <w:highlight w:val="none"/>
          <w:lang w:val="en-US" w:eastAsia="en-US"/>
        </w:rPr>
        <w:t>康复</w:t>
      </w:r>
      <w:r>
        <w:rPr>
          <w:rFonts w:hint="eastAsia" w:ascii="仿宋" w:hAnsi="仿宋" w:eastAsia="仿宋"/>
          <w:color w:val="auto"/>
          <w:sz w:val="24"/>
          <w:szCs w:val="24"/>
          <w:highlight w:val="none"/>
          <w:lang w:val="en-US" w:eastAsia="zh-CN"/>
        </w:rPr>
        <w:t>训练服务</w:t>
      </w:r>
      <w:r>
        <w:rPr>
          <w:rFonts w:hint="eastAsia" w:ascii="仿宋" w:hAnsi="仿宋" w:eastAsia="仿宋"/>
          <w:color w:val="auto"/>
          <w:sz w:val="24"/>
          <w:szCs w:val="24"/>
          <w:highlight w:val="none"/>
          <w:lang w:val="en-US" w:eastAsia="en-US"/>
        </w:rPr>
        <w:t>相关内容。</w:t>
      </w:r>
    </w:p>
    <w:p w14:paraId="308D3EF7">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s="仿宋"/>
          <w:i w:val="0"/>
          <w:iCs w:val="0"/>
          <w:color w:val="auto"/>
          <w:sz w:val="24"/>
          <w:szCs w:val="24"/>
          <w:highlight w:val="none"/>
          <w:lang w:val="en-US" w:eastAsia="en-US"/>
        </w:rPr>
      </w:pPr>
      <w:r>
        <w:rPr>
          <w:rFonts w:hint="eastAsia" w:ascii="仿宋" w:hAnsi="仿宋" w:eastAsia="仿宋"/>
          <w:color w:val="auto"/>
          <w:sz w:val="24"/>
          <w:szCs w:val="24"/>
          <w:highlight w:val="none"/>
          <w:lang w:val="en-US" w:eastAsia="en-US"/>
        </w:rPr>
        <w:t>应有所属地教育行政部门颁发的办学许可证或有当地特殊教育指导中心确定的公办学校合作开展康教融合服务的协议</w:t>
      </w:r>
      <w:r>
        <w:rPr>
          <w:rFonts w:hint="eastAsia" w:ascii="仿宋" w:hAnsi="仿宋" w:eastAsia="仿宋" w:cs="仿宋"/>
          <w:i w:val="0"/>
          <w:iCs w:val="0"/>
          <w:color w:val="auto"/>
          <w:sz w:val="24"/>
          <w:szCs w:val="24"/>
          <w:highlight w:val="none"/>
          <w:lang w:val="en-US" w:eastAsia="en-US"/>
        </w:rPr>
        <w:t>。</w:t>
      </w:r>
    </w:p>
    <w:p w14:paraId="3973A301">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en-US"/>
        </w:rPr>
      </w:pPr>
      <w:r>
        <w:rPr>
          <w:rFonts w:hint="eastAsia" w:ascii="仿宋" w:hAnsi="仿宋" w:eastAsia="仿宋"/>
          <w:color w:val="auto"/>
          <w:sz w:val="24"/>
          <w:szCs w:val="24"/>
          <w:highlight w:val="none"/>
          <w:lang w:val="en-US" w:eastAsia="zh-CN"/>
        </w:rPr>
        <w:t>2、消防达标：</w:t>
      </w:r>
      <w:r>
        <w:rPr>
          <w:rFonts w:hint="eastAsia" w:ascii="仿宋" w:hAnsi="仿宋" w:eastAsia="仿宋"/>
          <w:color w:val="auto"/>
          <w:sz w:val="24"/>
          <w:szCs w:val="24"/>
          <w:highlight w:val="none"/>
          <w:lang w:val="en-US" w:eastAsia="en-US"/>
        </w:rPr>
        <w:t>符合国家《建筑防火通用规范》(GB55037-2022)中关于“儿童活动场所”</w:t>
      </w:r>
      <w:r>
        <w:rPr>
          <w:rFonts w:hint="eastAsia" w:ascii="仿宋" w:hAnsi="仿宋" w:eastAsia="仿宋"/>
          <w:color w:val="auto"/>
          <w:sz w:val="24"/>
          <w:szCs w:val="24"/>
          <w:highlight w:val="none"/>
          <w:lang w:val="en-US" w:eastAsia="zh-CN"/>
        </w:rPr>
        <w:t>的相关要求，按照《建设工程消防设计审查验收管理暂行规定》（</w:t>
      </w:r>
      <w:r>
        <w:rPr>
          <w:rFonts w:hint="eastAsia" w:ascii="仿宋" w:hAnsi="仿宋" w:eastAsia="仿宋"/>
          <w:color w:val="auto"/>
          <w:sz w:val="24"/>
          <w:szCs w:val="24"/>
          <w:highlight w:val="none"/>
          <w:lang w:val="en-US" w:eastAsia="en-US"/>
        </w:rPr>
        <w:t>住建部第51号令)规定，儿童室内活动场所总建筑面积大于1000平方米以上的机构，建设前应取得建设工程消防设计审查合格意见书，竣工后应取得建设工程消防验收合格意见书;儿童室内活动场所总建筑面积1000平方米以下的机构，应在建设工程竣工验收合格之日起五个工作日内，向消防设计审查验收主管部门备案，并取得备案合格凭证。</w:t>
      </w:r>
    </w:p>
    <w:p w14:paraId="5E46C332">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属于</w:t>
      </w:r>
      <w:r>
        <w:rPr>
          <w:rFonts w:hint="eastAsia" w:ascii="仿宋" w:hAnsi="仿宋" w:eastAsia="仿宋"/>
          <w:color w:val="auto"/>
          <w:sz w:val="24"/>
          <w:szCs w:val="24"/>
          <w:highlight w:val="none"/>
          <w:lang w:val="en-US" w:eastAsia="en-US"/>
        </w:rPr>
        <w:t>(住建部第51号令</w:t>
      </w:r>
      <w:r>
        <w:rPr>
          <w:rFonts w:hint="eastAsia" w:ascii="仿宋" w:hAnsi="仿宋" w:eastAsia="仿宋"/>
          <w:color w:val="auto"/>
          <w:sz w:val="24"/>
          <w:szCs w:val="24"/>
          <w:highlight w:val="none"/>
          <w:lang w:val="en-US" w:eastAsia="zh-CN"/>
        </w:rPr>
        <w:t>，2020年6月1日期执行</w:t>
      </w:r>
      <w:r>
        <w:rPr>
          <w:rFonts w:hint="eastAsia" w:ascii="仿宋" w:hAnsi="仿宋" w:eastAsia="仿宋"/>
          <w:color w:val="auto"/>
          <w:sz w:val="24"/>
          <w:szCs w:val="24"/>
          <w:highlight w:val="none"/>
          <w:lang w:val="en-US" w:eastAsia="en-US"/>
        </w:rPr>
        <w:t>)</w:t>
      </w:r>
      <w:r>
        <w:rPr>
          <w:rFonts w:hint="eastAsia" w:ascii="仿宋" w:hAnsi="仿宋" w:eastAsia="仿宋"/>
          <w:color w:val="auto"/>
          <w:sz w:val="24"/>
          <w:szCs w:val="24"/>
          <w:highlight w:val="none"/>
          <w:lang w:val="en-US" w:eastAsia="zh-CN"/>
        </w:rPr>
        <w:t>实施前的建筑，场所建设通过属地消防部门建设（筑）工程消防验收，取得《建设工程竣工验收备案凭证》或《建设工程消防验收意见书》或《建筑工程消防设计验收意见书》。</w:t>
      </w:r>
    </w:p>
    <w:p w14:paraId="61E811BD">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注：1、单位负责人为同一人或者存在直接控股、管理关系的不同供应商，不得参加同一合同项下的政府采购活动。否则，相关投标均无效。</w:t>
      </w:r>
    </w:p>
    <w:p w14:paraId="15D03C7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highlight w:val="white"/>
        </w:rPr>
      </w:pPr>
      <w:r>
        <w:rPr>
          <w:rFonts w:hint="eastAsia" w:ascii="仿宋" w:hAnsi="仿宋" w:eastAsia="仿宋"/>
          <w:color w:val="auto"/>
          <w:sz w:val="24"/>
          <w:szCs w:val="24"/>
          <w:highlight w:val="none"/>
          <w:lang w:val="en-US" w:eastAsia="zh-CN"/>
        </w:rPr>
        <w:t>2、本项目供应商可以任意选择一个采购包进行响应，也可以同时选择多个采购包进行响应，兼投兼中。</w:t>
      </w:r>
    </w:p>
    <w:p w14:paraId="0A0B1E07">
      <w:pPr>
        <w:spacing w:line="5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highlight w:val="white"/>
        </w:rPr>
        <w:t>三、公告时间</w:t>
      </w:r>
    </w:p>
    <w:p w14:paraId="3DFCEC16">
      <w:pPr>
        <w:keepNext w:val="0"/>
        <w:keepLines w:val="0"/>
        <w:pageBreakBefore w:val="0"/>
        <w:widowControl w:val="0"/>
        <w:kinsoku/>
        <w:wordWrap/>
        <w:overflowPunct/>
        <w:topLinePunct w:val="0"/>
        <w:autoSpaceDE/>
        <w:autoSpaceDN/>
        <w:bidi w:val="0"/>
        <w:adjustRightInd/>
        <w:snapToGrid/>
        <w:spacing w:line="500" w:lineRule="exact"/>
        <w:ind w:right="1123" w:firstLine="480" w:firstLineChars="200"/>
        <w:textAlignment w:val="auto"/>
        <w:rPr>
          <w:rFonts w:hint="eastAsia" w:ascii="仿宋" w:hAnsi="仿宋" w:eastAsia="仿宋" w:cs="仿宋"/>
          <w:bCs/>
          <w:color w:val="000000"/>
          <w:sz w:val="24"/>
          <w:szCs w:val="24"/>
          <w:highlight w:val="none"/>
        </w:rPr>
      </w:pPr>
      <w:bookmarkStart w:id="1" w:name="EBd6e08bd78d674b669f89e3eb71dbbd3d"/>
      <w:r>
        <w:rPr>
          <w:rFonts w:hint="eastAsia" w:ascii="仿宋" w:hAnsi="仿宋" w:eastAsia="仿宋" w:cs="仿宋"/>
          <w:bCs/>
          <w:color w:val="000000"/>
          <w:sz w:val="24"/>
          <w:szCs w:val="24"/>
          <w:highlight w:val="none"/>
          <w:u w:val="none"/>
          <w:lang w:val="en-US" w:eastAsia="zh-CN"/>
        </w:rPr>
        <w:t>2025</w:t>
      </w:r>
      <w:r>
        <w:rPr>
          <w:rFonts w:hint="eastAsia" w:ascii="仿宋" w:hAnsi="仿宋" w:eastAsia="仿宋" w:cs="仿宋"/>
          <w:bCs/>
          <w:color w:val="000000"/>
          <w:sz w:val="24"/>
          <w:szCs w:val="24"/>
          <w:highlight w:val="none"/>
          <w:u w:val="none"/>
        </w:rPr>
        <w:t>年</w:t>
      </w:r>
      <w:r>
        <w:rPr>
          <w:rFonts w:hint="eastAsia" w:ascii="仿宋" w:hAnsi="仿宋" w:eastAsia="仿宋" w:cs="仿宋"/>
          <w:bCs/>
          <w:color w:val="000000"/>
          <w:sz w:val="24"/>
          <w:szCs w:val="24"/>
          <w:highlight w:val="none"/>
          <w:u w:val="none"/>
          <w:lang w:val="en-US" w:eastAsia="zh-CN"/>
        </w:rPr>
        <w:t>12</w:t>
      </w:r>
      <w:r>
        <w:rPr>
          <w:rFonts w:hint="eastAsia" w:ascii="仿宋" w:hAnsi="仿宋" w:eastAsia="仿宋" w:cs="仿宋"/>
          <w:bCs/>
          <w:color w:val="000000"/>
          <w:sz w:val="24"/>
          <w:szCs w:val="24"/>
          <w:highlight w:val="none"/>
          <w:u w:val="none"/>
        </w:rPr>
        <w:t>月</w:t>
      </w:r>
      <w:r>
        <w:rPr>
          <w:rFonts w:hint="eastAsia" w:ascii="仿宋" w:hAnsi="仿宋" w:eastAsia="仿宋" w:cs="仿宋"/>
          <w:bCs/>
          <w:color w:val="000000"/>
          <w:sz w:val="24"/>
          <w:szCs w:val="24"/>
          <w:highlight w:val="none"/>
          <w:u w:val="none"/>
          <w:lang w:val="en-US" w:eastAsia="zh-CN"/>
        </w:rPr>
        <w:t>18</w:t>
      </w:r>
      <w:r>
        <w:rPr>
          <w:rFonts w:hint="eastAsia" w:ascii="仿宋" w:hAnsi="仿宋" w:eastAsia="仿宋" w:cs="仿宋"/>
          <w:bCs/>
          <w:color w:val="000000"/>
          <w:sz w:val="24"/>
          <w:szCs w:val="24"/>
          <w:highlight w:val="none"/>
          <w:u w:val="none"/>
        </w:rPr>
        <w:t>日</w:t>
      </w:r>
      <w:bookmarkEnd w:id="1"/>
      <w:r>
        <w:rPr>
          <w:rFonts w:hint="eastAsia" w:ascii="仿宋" w:hAnsi="仿宋" w:eastAsia="仿宋" w:cs="仿宋"/>
          <w:bCs/>
          <w:color w:val="000000"/>
          <w:sz w:val="24"/>
          <w:szCs w:val="24"/>
          <w:highlight w:val="none"/>
          <w:u w:val="none"/>
          <w:lang w:val="en-US" w:eastAsia="zh-CN"/>
        </w:rPr>
        <w:t>09:00</w:t>
      </w:r>
      <w:r>
        <w:rPr>
          <w:rFonts w:hint="eastAsia" w:ascii="仿宋" w:hAnsi="仿宋" w:eastAsia="仿宋" w:cs="仿宋"/>
          <w:bCs/>
          <w:color w:val="000000"/>
          <w:sz w:val="24"/>
          <w:szCs w:val="24"/>
          <w:highlight w:val="none"/>
          <w:u w:val="none"/>
        </w:rPr>
        <w:t>至</w:t>
      </w:r>
      <w:bookmarkStart w:id="2" w:name="EB4a82fe30d91a48338ebb02b9012d939c"/>
      <w:r>
        <w:rPr>
          <w:rFonts w:hint="eastAsia" w:ascii="仿宋" w:hAnsi="仿宋" w:eastAsia="仿宋" w:cs="仿宋"/>
          <w:bCs/>
          <w:color w:val="000000"/>
          <w:sz w:val="24"/>
          <w:szCs w:val="24"/>
          <w:highlight w:val="none"/>
          <w:u w:val="none"/>
          <w:lang w:val="en-US" w:eastAsia="zh-CN"/>
        </w:rPr>
        <w:t>2025</w:t>
      </w:r>
      <w:r>
        <w:rPr>
          <w:rFonts w:hint="eastAsia" w:ascii="仿宋" w:hAnsi="仿宋" w:eastAsia="仿宋" w:cs="仿宋"/>
          <w:bCs/>
          <w:color w:val="000000"/>
          <w:sz w:val="24"/>
          <w:szCs w:val="24"/>
          <w:highlight w:val="none"/>
          <w:u w:val="none"/>
        </w:rPr>
        <w:t>年</w:t>
      </w:r>
      <w:r>
        <w:rPr>
          <w:rFonts w:hint="eastAsia" w:ascii="仿宋" w:hAnsi="仿宋" w:eastAsia="仿宋" w:cs="仿宋"/>
          <w:bCs/>
          <w:color w:val="000000"/>
          <w:sz w:val="24"/>
          <w:szCs w:val="24"/>
          <w:highlight w:val="none"/>
          <w:u w:val="none"/>
          <w:lang w:val="en-US" w:eastAsia="zh-CN"/>
        </w:rPr>
        <w:t>12</w:t>
      </w:r>
      <w:r>
        <w:rPr>
          <w:rFonts w:hint="eastAsia" w:ascii="仿宋" w:hAnsi="仿宋" w:eastAsia="仿宋" w:cs="仿宋"/>
          <w:bCs/>
          <w:color w:val="000000"/>
          <w:sz w:val="24"/>
          <w:szCs w:val="24"/>
          <w:highlight w:val="none"/>
          <w:u w:val="none"/>
        </w:rPr>
        <w:t>月</w:t>
      </w:r>
      <w:r>
        <w:rPr>
          <w:rFonts w:hint="eastAsia" w:ascii="仿宋" w:hAnsi="仿宋" w:eastAsia="仿宋" w:cs="仿宋"/>
          <w:bCs/>
          <w:color w:val="000000"/>
          <w:sz w:val="24"/>
          <w:szCs w:val="24"/>
          <w:highlight w:val="none"/>
          <w:u w:val="none"/>
          <w:lang w:val="en-US" w:eastAsia="zh-CN"/>
        </w:rPr>
        <w:t>22</w:t>
      </w:r>
      <w:r>
        <w:rPr>
          <w:rFonts w:hint="eastAsia" w:ascii="仿宋" w:hAnsi="仿宋" w:eastAsia="仿宋" w:cs="仿宋"/>
          <w:bCs/>
          <w:color w:val="000000"/>
          <w:sz w:val="24"/>
          <w:szCs w:val="24"/>
          <w:highlight w:val="none"/>
          <w:u w:val="none"/>
        </w:rPr>
        <w:t>日</w:t>
      </w:r>
      <w:r>
        <w:rPr>
          <w:rFonts w:hint="eastAsia" w:ascii="仿宋" w:hAnsi="仿宋" w:eastAsia="仿宋" w:cs="仿宋"/>
          <w:bCs/>
          <w:color w:val="000000"/>
          <w:sz w:val="24"/>
          <w:szCs w:val="24"/>
          <w:highlight w:val="none"/>
          <w:u w:val="none"/>
          <w:lang w:val="en-US" w:eastAsia="zh-CN"/>
        </w:rPr>
        <w:t>17</w:t>
      </w:r>
      <w:r>
        <w:rPr>
          <w:rFonts w:hint="eastAsia" w:ascii="仿宋" w:hAnsi="仿宋" w:eastAsia="仿宋" w:cs="仿宋"/>
          <w:bCs/>
          <w:color w:val="000000"/>
          <w:sz w:val="24"/>
          <w:szCs w:val="24"/>
          <w:highlight w:val="none"/>
          <w:u w:val="none"/>
        </w:rPr>
        <w:t>:</w:t>
      </w:r>
      <w:bookmarkEnd w:id="2"/>
      <w:r>
        <w:rPr>
          <w:rFonts w:hint="eastAsia" w:ascii="仿宋" w:hAnsi="仿宋" w:eastAsia="仿宋" w:cs="仿宋"/>
          <w:bCs/>
          <w:color w:val="000000"/>
          <w:sz w:val="24"/>
          <w:szCs w:val="24"/>
          <w:highlight w:val="none"/>
          <w:u w:val="none"/>
          <w:lang w:val="en-US" w:eastAsia="zh-CN"/>
        </w:rPr>
        <w:t>30</w:t>
      </w:r>
      <w:r>
        <w:rPr>
          <w:rFonts w:hint="eastAsia" w:ascii="仿宋" w:hAnsi="仿宋" w:eastAsia="仿宋" w:cs="仿宋"/>
          <w:bCs/>
          <w:color w:val="000000"/>
          <w:sz w:val="24"/>
          <w:szCs w:val="24"/>
          <w:highlight w:val="none"/>
        </w:rPr>
        <w:t>。</w:t>
      </w:r>
    </w:p>
    <w:p w14:paraId="1ABA9FE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000000"/>
          <w:sz w:val="24"/>
          <w:szCs w:val="24"/>
          <w:highlight w:val="green"/>
        </w:rPr>
      </w:pPr>
      <w:r>
        <w:rPr>
          <w:rFonts w:hint="eastAsia" w:ascii="仿宋" w:hAnsi="仿宋" w:eastAsia="仿宋" w:cs="仿宋"/>
          <w:bCs/>
          <w:color w:val="000000"/>
          <w:sz w:val="24"/>
          <w:szCs w:val="24"/>
          <w:highlight w:val="white"/>
        </w:rPr>
        <w:t>供应商在宿迁市政府采购网（http://zfcg.sqcz.suqian.gov.cn/）找到本项目获取相关调研文件。</w:t>
      </w:r>
    </w:p>
    <w:p w14:paraId="2168C128">
      <w:pPr>
        <w:spacing w:line="500" w:lineRule="exact"/>
        <w:ind w:firstLine="482" w:firstLineChars="200"/>
        <w:rPr>
          <w:rFonts w:hint="eastAsia" w:ascii="仿宋" w:hAnsi="仿宋" w:eastAsia="仿宋" w:cs="仿宋"/>
          <w:b/>
          <w:sz w:val="24"/>
          <w:szCs w:val="24"/>
          <w:highlight w:val="white"/>
        </w:rPr>
      </w:pPr>
      <w:r>
        <w:rPr>
          <w:rFonts w:hint="eastAsia" w:ascii="仿宋" w:hAnsi="仿宋" w:eastAsia="仿宋" w:cs="仿宋"/>
          <w:b/>
          <w:sz w:val="24"/>
          <w:szCs w:val="24"/>
          <w:highlight w:val="white"/>
        </w:rPr>
        <w:t>四、调研提交资料、截止时间和地点</w:t>
      </w:r>
    </w:p>
    <w:p w14:paraId="13F54DB7">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（一）采购需求响应表</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6FD3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F47BDFB">
            <w:pPr>
              <w:spacing w:line="5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64" w:type="dxa"/>
            <w:vAlign w:val="center"/>
          </w:tcPr>
          <w:p w14:paraId="434D6FCC">
            <w:pPr>
              <w:spacing w:line="5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标的</w:t>
            </w:r>
          </w:p>
        </w:tc>
        <w:tc>
          <w:tcPr>
            <w:tcW w:w="3302" w:type="dxa"/>
            <w:vAlign w:val="center"/>
          </w:tcPr>
          <w:p w14:paraId="2425AB3F">
            <w:pPr>
              <w:spacing w:line="5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详细功能、技术参数或服务要求</w:t>
            </w:r>
          </w:p>
        </w:tc>
        <w:tc>
          <w:tcPr>
            <w:tcW w:w="1886" w:type="dxa"/>
            <w:vAlign w:val="center"/>
          </w:tcPr>
          <w:p w14:paraId="259FA50E">
            <w:pPr>
              <w:spacing w:line="5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自身优势</w:t>
            </w:r>
          </w:p>
        </w:tc>
        <w:tc>
          <w:tcPr>
            <w:tcW w:w="1374" w:type="dxa"/>
            <w:vAlign w:val="center"/>
          </w:tcPr>
          <w:p w14:paraId="3527A1AD">
            <w:pPr>
              <w:spacing w:line="5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参考价</w:t>
            </w:r>
          </w:p>
          <w:p w14:paraId="1E165EFA">
            <w:pPr>
              <w:spacing w:line="5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（万元）</w:t>
            </w:r>
          </w:p>
        </w:tc>
      </w:tr>
      <w:tr w14:paraId="2F4B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40C97111">
            <w:pPr>
              <w:spacing w:line="500" w:lineRule="exact"/>
              <w:jc w:val="center"/>
              <w:rPr>
                <w:rFonts w:hint="eastAsia" w:ascii="仿宋" w:hAnsi="仿宋" w:eastAsia="仿宋" w:cs="仿宋"/>
                <w:kern w:val="0"/>
                <w:sz w:val="24"/>
                <w:szCs w:val="24"/>
              </w:rPr>
            </w:pPr>
          </w:p>
        </w:tc>
        <w:tc>
          <w:tcPr>
            <w:tcW w:w="1264" w:type="dxa"/>
            <w:vAlign w:val="center"/>
          </w:tcPr>
          <w:p w14:paraId="70677B7B">
            <w:pPr>
              <w:spacing w:line="500" w:lineRule="exact"/>
              <w:jc w:val="center"/>
              <w:rPr>
                <w:rFonts w:hint="eastAsia" w:ascii="仿宋" w:hAnsi="仿宋" w:eastAsia="仿宋" w:cs="仿宋"/>
                <w:kern w:val="0"/>
                <w:sz w:val="24"/>
                <w:szCs w:val="24"/>
              </w:rPr>
            </w:pPr>
          </w:p>
        </w:tc>
        <w:tc>
          <w:tcPr>
            <w:tcW w:w="3302" w:type="dxa"/>
            <w:vAlign w:val="center"/>
          </w:tcPr>
          <w:p w14:paraId="72D0C042">
            <w:pPr>
              <w:spacing w:line="500" w:lineRule="exact"/>
              <w:jc w:val="center"/>
              <w:rPr>
                <w:rFonts w:hint="eastAsia" w:ascii="仿宋" w:hAnsi="仿宋" w:eastAsia="仿宋" w:cs="仿宋"/>
                <w:kern w:val="0"/>
                <w:sz w:val="24"/>
                <w:szCs w:val="24"/>
              </w:rPr>
            </w:pPr>
          </w:p>
        </w:tc>
        <w:tc>
          <w:tcPr>
            <w:tcW w:w="1886" w:type="dxa"/>
            <w:vAlign w:val="center"/>
          </w:tcPr>
          <w:p w14:paraId="5408DFD8">
            <w:pPr>
              <w:spacing w:line="500" w:lineRule="exact"/>
              <w:jc w:val="center"/>
              <w:rPr>
                <w:rFonts w:hint="eastAsia" w:ascii="仿宋" w:hAnsi="仿宋" w:eastAsia="仿宋" w:cs="仿宋"/>
                <w:kern w:val="0"/>
                <w:sz w:val="24"/>
                <w:szCs w:val="24"/>
              </w:rPr>
            </w:pPr>
          </w:p>
        </w:tc>
        <w:tc>
          <w:tcPr>
            <w:tcW w:w="1374" w:type="dxa"/>
          </w:tcPr>
          <w:p w14:paraId="50EA8757">
            <w:pPr>
              <w:spacing w:line="500" w:lineRule="exact"/>
              <w:jc w:val="center"/>
              <w:rPr>
                <w:rFonts w:hint="eastAsia" w:ascii="仿宋" w:hAnsi="仿宋" w:eastAsia="仿宋" w:cs="仿宋"/>
                <w:kern w:val="0"/>
                <w:sz w:val="24"/>
                <w:szCs w:val="24"/>
              </w:rPr>
            </w:pPr>
          </w:p>
        </w:tc>
      </w:tr>
      <w:tr w14:paraId="3DDB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193F779">
            <w:pPr>
              <w:spacing w:line="500" w:lineRule="exact"/>
              <w:jc w:val="center"/>
              <w:rPr>
                <w:rFonts w:hint="eastAsia" w:ascii="仿宋" w:hAnsi="仿宋" w:eastAsia="仿宋" w:cs="仿宋"/>
                <w:kern w:val="0"/>
                <w:sz w:val="24"/>
                <w:szCs w:val="24"/>
              </w:rPr>
            </w:pPr>
          </w:p>
        </w:tc>
        <w:tc>
          <w:tcPr>
            <w:tcW w:w="1264" w:type="dxa"/>
            <w:vAlign w:val="center"/>
          </w:tcPr>
          <w:p w14:paraId="5D070B9D">
            <w:pPr>
              <w:spacing w:line="500" w:lineRule="exact"/>
              <w:jc w:val="center"/>
              <w:rPr>
                <w:rFonts w:hint="eastAsia" w:ascii="仿宋" w:hAnsi="仿宋" w:eastAsia="仿宋" w:cs="仿宋"/>
                <w:kern w:val="0"/>
                <w:sz w:val="24"/>
                <w:szCs w:val="24"/>
              </w:rPr>
            </w:pPr>
          </w:p>
        </w:tc>
        <w:tc>
          <w:tcPr>
            <w:tcW w:w="3302" w:type="dxa"/>
            <w:vAlign w:val="center"/>
          </w:tcPr>
          <w:p w14:paraId="23BEE78B">
            <w:pPr>
              <w:spacing w:line="500" w:lineRule="exact"/>
              <w:jc w:val="center"/>
              <w:rPr>
                <w:rFonts w:hint="eastAsia" w:ascii="仿宋" w:hAnsi="仿宋" w:eastAsia="仿宋" w:cs="仿宋"/>
                <w:kern w:val="0"/>
                <w:sz w:val="24"/>
                <w:szCs w:val="24"/>
              </w:rPr>
            </w:pPr>
          </w:p>
        </w:tc>
        <w:tc>
          <w:tcPr>
            <w:tcW w:w="1886" w:type="dxa"/>
            <w:vAlign w:val="center"/>
          </w:tcPr>
          <w:p w14:paraId="66115479">
            <w:pPr>
              <w:spacing w:line="500" w:lineRule="exact"/>
              <w:jc w:val="center"/>
              <w:rPr>
                <w:rFonts w:hint="eastAsia" w:ascii="仿宋" w:hAnsi="仿宋" w:eastAsia="仿宋" w:cs="仿宋"/>
                <w:kern w:val="0"/>
                <w:sz w:val="24"/>
                <w:szCs w:val="24"/>
              </w:rPr>
            </w:pPr>
          </w:p>
        </w:tc>
        <w:tc>
          <w:tcPr>
            <w:tcW w:w="1374" w:type="dxa"/>
          </w:tcPr>
          <w:p w14:paraId="54C97167">
            <w:pPr>
              <w:spacing w:line="500" w:lineRule="exact"/>
              <w:jc w:val="center"/>
              <w:rPr>
                <w:rFonts w:hint="eastAsia" w:ascii="仿宋" w:hAnsi="仿宋" w:eastAsia="仿宋" w:cs="仿宋"/>
                <w:kern w:val="0"/>
                <w:sz w:val="24"/>
                <w:szCs w:val="24"/>
              </w:rPr>
            </w:pPr>
          </w:p>
        </w:tc>
      </w:tr>
      <w:tr w14:paraId="4261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E7A0CBB">
            <w:pPr>
              <w:spacing w:line="500" w:lineRule="exact"/>
              <w:jc w:val="center"/>
              <w:rPr>
                <w:rFonts w:hint="eastAsia" w:ascii="仿宋" w:hAnsi="仿宋" w:eastAsia="仿宋" w:cs="仿宋"/>
                <w:kern w:val="0"/>
                <w:sz w:val="24"/>
                <w:szCs w:val="24"/>
              </w:rPr>
            </w:pPr>
          </w:p>
        </w:tc>
        <w:tc>
          <w:tcPr>
            <w:tcW w:w="1264" w:type="dxa"/>
            <w:vAlign w:val="center"/>
          </w:tcPr>
          <w:p w14:paraId="68E8430E">
            <w:pPr>
              <w:spacing w:line="500" w:lineRule="exact"/>
              <w:jc w:val="center"/>
              <w:rPr>
                <w:rFonts w:hint="eastAsia" w:ascii="仿宋" w:hAnsi="仿宋" w:eastAsia="仿宋" w:cs="仿宋"/>
                <w:kern w:val="0"/>
                <w:sz w:val="24"/>
                <w:szCs w:val="24"/>
              </w:rPr>
            </w:pPr>
          </w:p>
        </w:tc>
        <w:tc>
          <w:tcPr>
            <w:tcW w:w="3302" w:type="dxa"/>
            <w:vAlign w:val="center"/>
          </w:tcPr>
          <w:p w14:paraId="7588EED9">
            <w:pPr>
              <w:spacing w:line="500" w:lineRule="exact"/>
              <w:jc w:val="center"/>
              <w:rPr>
                <w:rFonts w:hint="eastAsia" w:ascii="仿宋" w:hAnsi="仿宋" w:eastAsia="仿宋" w:cs="仿宋"/>
                <w:kern w:val="0"/>
                <w:sz w:val="24"/>
                <w:szCs w:val="24"/>
              </w:rPr>
            </w:pPr>
          </w:p>
        </w:tc>
        <w:tc>
          <w:tcPr>
            <w:tcW w:w="1886" w:type="dxa"/>
            <w:vAlign w:val="center"/>
          </w:tcPr>
          <w:p w14:paraId="2C39D6E8">
            <w:pPr>
              <w:spacing w:line="500" w:lineRule="exact"/>
              <w:jc w:val="center"/>
              <w:rPr>
                <w:rFonts w:hint="eastAsia" w:ascii="仿宋" w:hAnsi="仿宋" w:eastAsia="仿宋" w:cs="仿宋"/>
                <w:kern w:val="0"/>
                <w:sz w:val="24"/>
                <w:szCs w:val="24"/>
              </w:rPr>
            </w:pPr>
          </w:p>
        </w:tc>
        <w:tc>
          <w:tcPr>
            <w:tcW w:w="1374" w:type="dxa"/>
          </w:tcPr>
          <w:p w14:paraId="18A57633">
            <w:pPr>
              <w:spacing w:line="500" w:lineRule="exact"/>
              <w:jc w:val="center"/>
              <w:rPr>
                <w:rFonts w:hint="eastAsia" w:ascii="仿宋" w:hAnsi="仿宋" w:eastAsia="仿宋" w:cs="仿宋"/>
                <w:kern w:val="0"/>
                <w:sz w:val="24"/>
                <w:szCs w:val="24"/>
              </w:rPr>
            </w:pPr>
          </w:p>
        </w:tc>
      </w:tr>
    </w:tbl>
    <w:p w14:paraId="097DBF60">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（二）提交证明资料：</w:t>
      </w:r>
    </w:p>
    <w:p w14:paraId="5EF013C2">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1.</w:t>
      </w:r>
    </w:p>
    <w:p w14:paraId="1993DA57">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2.</w:t>
      </w:r>
    </w:p>
    <w:p w14:paraId="7C1D47EE">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3.</w:t>
      </w:r>
    </w:p>
    <w:p w14:paraId="66CFEFD0">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w:t>
      </w:r>
    </w:p>
    <w:p w14:paraId="18CDD5C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以上资料加盖供应商公章后扫描发送至邮箱（</w:t>
      </w:r>
      <w:r>
        <w:rPr>
          <w:rFonts w:hint="eastAsia" w:ascii="仿宋" w:hAnsi="仿宋" w:eastAsia="仿宋" w:cs="仿宋"/>
          <w:sz w:val="24"/>
          <w:szCs w:val="24"/>
          <w:highlight w:val="none"/>
          <w:lang w:val="en-US" w:eastAsia="zh-CN"/>
        </w:rPr>
        <w:t>344733501@qq.com</w:t>
      </w:r>
      <w:r>
        <w:rPr>
          <w:rFonts w:hint="eastAsia" w:ascii="仿宋" w:hAnsi="仿宋" w:eastAsia="仿宋" w:cs="仿宋"/>
          <w:sz w:val="24"/>
          <w:szCs w:val="24"/>
          <w:highlight w:val="none"/>
        </w:rPr>
        <w:t>），其中明确要求产品制造商提供的调研资料请加盖制造商公章后上传。</w:t>
      </w:r>
    </w:p>
    <w:p w14:paraId="7B257ABF">
      <w:pPr>
        <w:spacing w:line="500" w:lineRule="exact"/>
        <w:ind w:firstLine="480" w:firstLineChars="200"/>
        <w:rPr>
          <w:rFonts w:hint="eastAsia" w:ascii="仿宋" w:hAnsi="仿宋" w:eastAsia="仿宋" w:cs="仿宋"/>
          <w:bCs/>
          <w:color w:val="000000"/>
          <w:sz w:val="24"/>
          <w:szCs w:val="24"/>
          <w:highlight w:val="none"/>
          <w:u w:val="single"/>
        </w:rPr>
      </w:pPr>
      <w:r>
        <w:rPr>
          <w:rFonts w:hint="eastAsia" w:ascii="仿宋" w:hAnsi="仿宋" w:eastAsia="仿宋" w:cs="仿宋"/>
          <w:sz w:val="24"/>
          <w:szCs w:val="24"/>
          <w:highlight w:val="none"/>
        </w:rPr>
        <w:t>（三）</w:t>
      </w:r>
      <w:r>
        <w:rPr>
          <w:rFonts w:hint="eastAsia" w:ascii="仿宋" w:hAnsi="仿宋" w:eastAsia="仿宋" w:cs="仿宋"/>
          <w:kern w:val="0"/>
          <w:sz w:val="24"/>
          <w:szCs w:val="24"/>
          <w:highlight w:val="none"/>
        </w:rPr>
        <w:t>提交截止时间：</w:t>
      </w:r>
      <w:r>
        <w:rPr>
          <w:rFonts w:hint="eastAsia" w:ascii="仿宋" w:hAnsi="仿宋" w:eastAsia="仿宋" w:cs="仿宋"/>
          <w:bCs/>
          <w:color w:val="000000"/>
          <w:sz w:val="24"/>
          <w:szCs w:val="24"/>
          <w:highlight w:val="none"/>
          <w:u w:val="single"/>
          <w:lang w:val="en-US" w:eastAsia="zh-CN"/>
        </w:rPr>
        <w:t>2025</w:t>
      </w:r>
      <w:r>
        <w:rPr>
          <w:rFonts w:hint="eastAsia" w:ascii="仿宋" w:hAnsi="仿宋" w:eastAsia="仿宋" w:cs="仿宋"/>
          <w:bCs/>
          <w:color w:val="000000"/>
          <w:sz w:val="24"/>
          <w:szCs w:val="24"/>
          <w:highlight w:val="none"/>
        </w:rPr>
        <w:t>年</w:t>
      </w:r>
      <w:r>
        <w:rPr>
          <w:rFonts w:hint="eastAsia" w:ascii="仿宋" w:hAnsi="仿宋" w:eastAsia="仿宋" w:cs="仿宋"/>
          <w:bCs/>
          <w:color w:val="000000"/>
          <w:sz w:val="24"/>
          <w:szCs w:val="24"/>
          <w:highlight w:val="none"/>
          <w:u w:val="single"/>
          <w:lang w:val="en-US" w:eastAsia="zh-CN"/>
        </w:rPr>
        <w:t>12</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u w:val="single"/>
          <w:lang w:val="en-US" w:eastAsia="zh-CN"/>
        </w:rPr>
        <w:t>22</w:t>
      </w:r>
      <w:r>
        <w:rPr>
          <w:rFonts w:hint="eastAsia" w:ascii="仿宋" w:hAnsi="仿宋" w:eastAsia="仿宋" w:cs="仿宋"/>
          <w:bCs/>
          <w:color w:val="000000"/>
          <w:sz w:val="24"/>
          <w:szCs w:val="24"/>
          <w:highlight w:val="none"/>
        </w:rPr>
        <w:t>日</w:t>
      </w:r>
      <w:r>
        <w:rPr>
          <w:rFonts w:hint="eastAsia" w:ascii="仿宋" w:hAnsi="仿宋" w:eastAsia="仿宋" w:cs="仿宋"/>
          <w:bCs/>
          <w:color w:val="000000"/>
          <w:sz w:val="24"/>
          <w:szCs w:val="24"/>
          <w:highlight w:val="none"/>
          <w:u w:val="single"/>
          <w:lang w:val="en-US" w:eastAsia="zh-CN"/>
        </w:rPr>
        <w:t>17</w:t>
      </w:r>
      <w:r>
        <w:rPr>
          <w:rFonts w:hint="eastAsia" w:ascii="仿宋" w:hAnsi="仿宋" w:eastAsia="仿宋" w:cs="仿宋"/>
          <w:bCs/>
          <w:color w:val="000000"/>
          <w:sz w:val="24"/>
          <w:szCs w:val="24"/>
          <w:highlight w:val="none"/>
          <w:u w:val="single"/>
        </w:rPr>
        <w:t>:</w:t>
      </w:r>
      <w:r>
        <w:rPr>
          <w:rFonts w:hint="eastAsia" w:ascii="仿宋" w:hAnsi="仿宋" w:eastAsia="仿宋" w:cs="仿宋"/>
          <w:bCs/>
          <w:color w:val="000000"/>
          <w:sz w:val="24"/>
          <w:szCs w:val="24"/>
          <w:highlight w:val="none"/>
          <w:u w:val="single"/>
          <w:lang w:val="en-US" w:eastAsia="zh-CN"/>
        </w:rPr>
        <w:t>30</w:t>
      </w:r>
    </w:p>
    <w:p w14:paraId="6A611DDC">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供应商应提交截止时间前将电子响应文件发送至邮箱（</w:t>
      </w:r>
      <w:r>
        <w:rPr>
          <w:rFonts w:hint="eastAsia" w:ascii="仿宋" w:hAnsi="仿宋" w:eastAsia="仿宋" w:cs="仿宋"/>
          <w:sz w:val="24"/>
          <w:szCs w:val="24"/>
          <w:highlight w:val="none"/>
          <w:lang w:eastAsia="zh-CN"/>
        </w:rPr>
        <w:t>344733501@qq.com</w:t>
      </w:r>
      <w:r>
        <w:rPr>
          <w:rFonts w:hint="eastAsia" w:ascii="仿宋" w:hAnsi="仿宋" w:eastAsia="仿宋" w:cs="仿宋"/>
          <w:sz w:val="24"/>
          <w:szCs w:val="24"/>
          <w:highlight w:val="white"/>
        </w:rPr>
        <w:t>），逾期完成发送的，采购人不予受理。</w:t>
      </w:r>
    </w:p>
    <w:p w14:paraId="64D5F1B0">
      <w:pPr>
        <w:spacing w:line="500" w:lineRule="exact"/>
        <w:ind w:firstLine="482" w:firstLineChars="200"/>
        <w:rPr>
          <w:rFonts w:hint="eastAsia" w:ascii="仿宋" w:hAnsi="仿宋" w:eastAsia="仿宋" w:cs="仿宋"/>
          <w:b/>
          <w:bCs/>
          <w:iCs/>
          <w:sz w:val="24"/>
          <w:szCs w:val="24"/>
          <w:highlight w:val="white"/>
        </w:rPr>
      </w:pPr>
      <w:r>
        <w:rPr>
          <w:rFonts w:hint="eastAsia" w:ascii="仿宋" w:hAnsi="仿宋" w:eastAsia="仿宋" w:cs="仿宋"/>
          <w:b/>
          <w:bCs/>
          <w:iCs/>
          <w:sz w:val="24"/>
          <w:szCs w:val="24"/>
          <w:highlight w:val="white"/>
        </w:rPr>
        <w:t>五、本次采购联系方式</w:t>
      </w:r>
    </w:p>
    <w:p w14:paraId="544380C8">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1.采购人信息</w:t>
      </w:r>
    </w:p>
    <w:p w14:paraId="3C41C543">
      <w:pPr>
        <w:spacing w:line="500" w:lineRule="exact"/>
        <w:ind w:firstLine="480" w:firstLineChars="200"/>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名称：</w:t>
      </w:r>
      <w:r>
        <w:rPr>
          <w:rFonts w:hint="eastAsia" w:ascii="仿宋" w:hAnsi="仿宋" w:eastAsia="仿宋" w:cs="仿宋"/>
          <w:sz w:val="24"/>
          <w:szCs w:val="24"/>
          <w:highlight w:val="white"/>
          <w:lang w:eastAsia="zh-CN"/>
        </w:rPr>
        <w:t>宿迁市宿迁市宿豫区残疾人联合会</w:t>
      </w:r>
    </w:p>
    <w:p w14:paraId="5A311A8E">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地址：宿迁市宿豫区贺兰山路一号</w:t>
      </w:r>
    </w:p>
    <w:p w14:paraId="1632CFFE">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联系人：张玲</w:t>
      </w:r>
    </w:p>
    <w:p w14:paraId="5AAA4D8F">
      <w:pPr>
        <w:spacing w:line="50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联系方式：0527-84285886</w:t>
      </w:r>
    </w:p>
    <w:p w14:paraId="0B46B667">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0B4A5AAA-4B6E-48C3-B35A-D5DF2B193B9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NGE1ZjA3OWVhYTQxNzRkYmQwYTJjYjg4OGRkYTA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D8694E"/>
    <w:rsid w:val="06234A48"/>
    <w:rsid w:val="06283890"/>
    <w:rsid w:val="0A2F7EAD"/>
    <w:rsid w:val="0AE0740A"/>
    <w:rsid w:val="0B0004FD"/>
    <w:rsid w:val="0B756CA4"/>
    <w:rsid w:val="0CF64FD9"/>
    <w:rsid w:val="0D085B39"/>
    <w:rsid w:val="0DA00307"/>
    <w:rsid w:val="0E7923B1"/>
    <w:rsid w:val="13946135"/>
    <w:rsid w:val="141A0584"/>
    <w:rsid w:val="17D731F6"/>
    <w:rsid w:val="196F62FD"/>
    <w:rsid w:val="19947A8F"/>
    <w:rsid w:val="1C9E6B95"/>
    <w:rsid w:val="1D141E95"/>
    <w:rsid w:val="1EEE0DF0"/>
    <w:rsid w:val="20E245E0"/>
    <w:rsid w:val="21FA5CFD"/>
    <w:rsid w:val="22B21C62"/>
    <w:rsid w:val="23BA7796"/>
    <w:rsid w:val="24EF141E"/>
    <w:rsid w:val="253B28B5"/>
    <w:rsid w:val="26914E82"/>
    <w:rsid w:val="28612632"/>
    <w:rsid w:val="2AD815A5"/>
    <w:rsid w:val="2C511062"/>
    <w:rsid w:val="2D260BCB"/>
    <w:rsid w:val="2DBD655D"/>
    <w:rsid w:val="2E5340CC"/>
    <w:rsid w:val="30936632"/>
    <w:rsid w:val="326B1887"/>
    <w:rsid w:val="331D184C"/>
    <w:rsid w:val="333C4FE6"/>
    <w:rsid w:val="363A0B09"/>
    <w:rsid w:val="365323FF"/>
    <w:rsid w:val="371107C6"/>
    <w:rsid w:val="382D7206"/>
    <w:rsid w:val="3ABB06A2"/>
    <w:rsid w:val="3BA40DCD"/>
    <w:rsid w:val="3C6167CA"/>
    <w:rsid w:val="3FED574D"/>
    <w:rsid w:val="40182BD7"/>
    <w:rsid w:val="405F5252"/>
    <w:rsid w:val="40B55C8D"/>
    <w:rsid w:val="437D2BFE"/>
    <w:rsid w:val="4762455C"/>
    <w:rsid w:val="483E6E41"/>
    <w:rsid w:val="48AB0A5A"/>
    <w:rsid w:val="492D2391"/>
    <w:rsid w:val="4C107D48"/>
    <w:rsid w:val="4CC9532C"/>
    <w:rsid w:val="4DAC584E"/>
    <w:rsid w:val="506B51A7"/>
    <w:rsid w:val="536326DC"/>
    <w:rsid w:val="54362370"/>
    <w:rsid w:val="54A36C54"/>
    <w:rsid w:val="565F6AC4"/>
    <w:rsid w:val="5B6F3AEF"/>
    <w:rsid w:val="5DCD7847"/>
    <w:rsid w:val="5FF26CD5"/>
    <w:rsid w:val="63EF2510"/>
    <w:rsid w:val="679F0F2F"/>
    <w:rsid w:val="6C9F4AA4"/>
    <w:rsid w:val="6F617513"/>
    <w:rsid w:val="76F93003"/>
    <w:rsid w:val="778560AF"/>
    <w:rsid w:val="7B844B2A"/>
    <w:rsid w:val="7BA125C7"/>
    <w:rsid w:val="7DC73E5B"/>
    <w:rsid w:val="7DF12C86"/>
    <w:rsid w:val="7ECA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autoRedefine/>
    <w:qFormat/>
    <w:uiPriority w:val="0"/>
    <w:pPr>
      <w:spacing w:before="50" w:after="50" w:line="360" w:lineRule="auto"/>
      <w:ind w:firstLine="200"/>
    </w:pPr>
    <w:rPr>
      <w:sz w:val="24"/>
    </w:rPr>
  </w:style>
  <w:style w:type="paragraph" w:styleId="5">
    <w:name w:val="table of authorities"/>
    <w:basedOn w:val="1"/>
    <w:next w:val="1"/>
    <w:autoRedefine/>
    <w:qFormat/>
    <w:uiPriority w:val="0"/>
    <w:pPr>
      <w:ind w:left="420" w:leftChars="200"/>
    </w:pPr>
    <w:rPr>
      <w:rFonts w:ascii="Times New Roman" w:hAnsi="Times New Roman" w:eastAsia="宋体" w:cs="Times New Roman"/>
      <w:szCs w:val="20"/>
    </w:rPr>
  </w:style>
  <w:style w:type="paragraph" w:styleId="6">
    <w:name w:val="Normal Indent"/>
    <w:basedOn w:val="1"/>
    <w:autoRedefine/>
    <w:qFormat/>
    <w:uiPriority w:val="0"/>
    <w:pPr>
      <w:ind w:firstLine="420"/>
    </w:pPr>
    <w:rPr>
      <w:szCs w:val="21"/>
    </w:rPr>
  </w:style>
  <w:style w:type="paragraph" w:styleId="7">
    <w:name w:val="annotation text"/>
    <w:basedOn w:val="1"/>
    <w:autoRedefine/>
    <w:semiHidden/>
    <w:unhideWhenUsed/>
    <w:qFormat/>
    <w:uiPriority w:val="99"/>
    <w:pPr>
      <w:jc w:val="left"/>
    </w:pPr>
  </w:style>
  <w:style w:type="paragraph" w:styleId="8">
    <w:name w:val="Body Text Indent 2"/>
    <w:basedOn w:val="1"/>
    <w:link w:val="25"/>
    <w:autoRedefine/>
    <w:semiHidden/>
    <w:unhideWhenUsed/>
    <w:qFormat/>
    <w:uiPriority w:val="0"/>
    <w:pPr>
      <w:spacing w:line="540" w:lineRule="exact"/>
      <w:ind w:firstLine="225" w:firstLineChars="225"/>
      <w:jc w:val="left"/>
    </w:pPr>
    <w:rPr>
      <w:rFonts w:ascii="仿宋_GB2312" w:eastAsia="仿宋_GB2312"/>
      <w:sz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style>
  <w:style w:type="character" w:styleId="13">
    <w:name w:val="FollowedHyperlink"/>
    <w:basedOn w:val="11"/>
    <w:autoRedefine/>
    <w:semiHidden/>
    <w:unhideWhenUsed/>
    <w:qFormat/>
    <w:uiPriority w:val="99"/>
    <w:rPr>
      <w:color w:val="800080"/>
      <w:u w:val="none"/>
    </w:rPr>
  </w:style>
  <w:style w:type="character" w:styleId="14">
    <w:name w:val="Emphasis"/>
    <w:basedOn w:val="11"/>
    <w:autoRedefine/>
    <w:qFormat/>
    <w:uiPriority w:val="20"/>
  </w:style>
  <w:style w:type="character" w:styleId="15">
    <w:name w:val="HTML Definition"/>
    <w:basedOn w:val="11"/>
    <w:autoRedefine/>
    <w:semiHidden/>
    <w:unhideWhenUsed/>
    <w:qFormat/>
    <w:uiPriority w:val="99"/>
  </w:style>
  <w:style w:type="character" w:styleId="16">
    <w:name w:val="HTML Typewriter"/>
    <w:basedOn w:val="11"/>
    <w:autoRedefine/>
    <w:semiHidden/>
    <w:unhideWhenUsed/>
    <w:qFormat/>
    <w:uiPriority w:val="99"/>
    <w:rPr>
      <w:rFonts w:hint="default" w:ascii="monospace" w:hAnsi="monospace" w:eastAsia="monospace" w:cs="monospace"/>
      <w:sz w:val="20"/>
    </w:rPr>
  </w:style>
  <w:style w:type="character" w:styleId="17">
    <w:name w:val="HTML Acronym"/>
    <w:basedOn w:val="11"/>
    <w:autoRedefine/>
    <w:semiHidden/>
    <w:unhideWhenUsed/>
    <w:qFormat/>
    <w:uiPriority w:val="99"/>
  </w:style>
  <w:style w:type="character" w:styleId="18">
    <w:name w:val="HTML Variable"/>
    <w:basedOn w:val="11"/>
    <w:autoRedefine/>
    <w:semiHidden/>
    <w:unhideWhenUsed/>
    <w:qFormat/>
    <w:uiPriority w:val="99"/>
  </w:style>
  <w:style w:type="character" w:styleId="19">
    <w:name w:val="Hyperlink"/>
    <w:basedOn w:val="11"/>
    <w:autoRedefine/>
    <w:semiHidden/>
    <w:unhideWhenUsed/>
    <w:qFormat/>
    <w:uiPriority w:val="99"/>
    <w:rPr>
      <w:color w:val="0000FF"/>
      <w:u w:val="none"/>
    </w:rPr>
  </w:style>
  <w:style w:type="character" w:styleId="20">
    <w:name w:val="HTML Code"/>
    <w:basedOn w:val="11"/>
    <w:autoRedefine/>
    <w:semiHidden/>
    <w:unhideWhenUsed/>
    <w:qFormat/>
    <w:uiPriority w:val="99"/>
    <w:rPr>
      <w:rFonts w:ascii="monospace" w:hAnsi="monospace" w:eastAsia="monospace" w:cs="monospace"/>
      <w:sz w:val="20"/>
    </w:rPr>
  </w:style>
  <w:style w:type="character" w:styleId="21">
    <w:name w:val="HTML Cite"/>
    <w:basedOn w:val="11"/>
    <w:autoRedefine/>
    <w:semiHidden/>
    <w:unhideWhenUsed/>
    <w:qFormat/>
    <w:uiPriority w:val="99"/>
  </w:style>
  <w:style w:type="character" w:styleId="22">
    <w:name w:val="HTML Keyboard"/>
    <w:basedOn w:val="11"/>
    <w:autoRedefine/>
    <w:semiHidden/>
    <w:unhideWhenUsed/>
    <w:qFormat/>
    <w:uiPriority w:val="99"/>
    <w:rPr>
      <w:rFonts w:hint="default" w:ascii="monospace" w:hAnsi="monospace" w:eastAsia="monospace" w:cs="monospace"/>
      <w:sz w:val="20"/>
    </w:rPr>
  </w:style>
  <w:style w:type="character" w:styleId="23">
    <w:name w:val="HTML Sample"/>
    <w:basedOn w:val="11"/>
    <w:autoRedefine/>
    <w:semiHidden/>
    <w:unhideWhenUsed/>
    <w:qFormat/>
    <w:uiPriority w:val="99"/>
    <w:rPr>
      <w:rFonts w:hint="default" w:ascii="monospace" w:hAnsi="monospace" w:eastAsia="monospace" w:cs="monospace"/>
    </w:rPr>
  </w:style>
  <w:style w:type="character" w:customStyle="1" w:styleId="24">
    <w:name w:val="标题 1 字符"/>
    <w:basedOn w:val="11"/>
    <w:link w:val="3"/>
    <w:autoRedefine/>
    <w:qFormat/>
    <w:uiPriority w:val="0"/>
    <w:rPr>
      <w:rFonts w:ascii="Times New Roman" w:hAnsi="Times New Roman" w:eastAsia="宋体" w:cs="Times New Roman"/>
      <w:b/>
      <w:kern w:val="44"/>
      <w:sz w:val="44"/>
      <w:szCs w:val="20"/>
    </w:rPr>
  </w:style>
  <w:style w:type="character" w:customStyle="1" w:styleId="25">
    <w:name w:val="正文文本缩进 2 字符"/>
    <w:basedOn w:val="11"/>
    <w:link w:val="8"/>
    <w:autoRedefine/>
    <w:semiHidden/>
    <w:qFormat/>
    <w:uiPriority w:val="0"/>
    <w:rPr>
      <w:rFonts w:ascii="仿宋_GB2312" w:hAnsi="Calibri" w:eastAsia="仿宋_GB2312" w:cs="Times New Roman"/>
      <w:sz w:val="32"/>
    </w:rPr>
  </w:style>
  <w:style w:type="character" w:customStyle="1" w:styleId="26">
    <w:name w:val="old"/>
    <w:basedOn w:val="11"/>
    <w:autoRedefine/>
    <w:qFormat/>
    <w:uiPriority w:val="0"/>
    <w:rPr>
      <w:color w:val="999999"/>
    </w:rPr>
  </w:style>
  <w:style w:type="character" w:customStyle="1" w:styleId="27">
    <w:name w:val="layui-layer-tabnow"/>
    <w:basedOn w:val="11"/>
    <w:autoRedefine/>
    <w:qFormat/>
    <w:uiPriority w:val="0"/>
    <w:rPr>
      <w:bdr w:val="single" w:color="CCCCCC" w:sz="6" w:space="0"/>
      <w:shd w:val="clear" w:fill="FFFFFF"/>
    </w:rPr>
  </w:style>
  <w:style w:type="character" w:customStyle="1" w:styleId="28">
    <w:name w:val="glyphicon"/>
    <w:basedOn w:val="11"/>
    <w:autoRedefine/>
    <w:qFormat/>
    <w:uiPriority w:val="0"/>
  </w:style>
  <w:style w:type="character" w:customStyle="1" w:styleId="29">
    <w:name w:val="hour_am"/>
    <w:basedOn w:val="11"/>
    <w:autoRedefine/>
    <w:qFormat/>
    <w:uiPriority w:val="0"/>
  </w:style>
  <w:style w:type="character" w:customStyle="1" w:styleId="30">
    <w:name w:val="hover5"/>
    <w:basedOn w:val="11"/>
    <w:autoRedefine/>
    <w:qFormat/>
    <w:uiPriority w:val="0"/>
    <w:rPr>
      <w:shd w:val="clear" w:fill="EEEEEE"/>
    </w:rPr>
  </w:style>
  <w:style w:type="character" w:customStyle="1" w:styleId="31">
    <w:name w:val="hour_pm"/>
    <w:basedOn w:val="11"/>
    <w:autoRedefine/>
    <w:qFormat/>
    <w:uiPriority w:val="0"/>
  </w:style>
  <w:style w:type="character" w:customStyle="1" w:styleId="32">
    <w:name w:val="first-child"/>
    <w:basedOn w:val="1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37B-81AE-4AF4-AB3A-081D35362E7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2374</Words>
  <Characters>2572</Characters>
  <Lines>5</Lines>
  <Paragraphs>1</Paragraphs>
  <TotalTime>2</TotalTime>
  <ScaleCrop>false</ScaleCrop>
  <LinksUpToDate>false</LinksUpToDate>
  <CharactersWithSpaces>2572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春暖花开</cp:lastModifiedBy>
  <dcterms:modified xsi:type="dcterms:W3CDTF">2025-12-17T03:36:49Z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D0DBA5F50C7545B9AB07CE0AD9518293_13</vt:lpwstr>
  </property>
  <property fmtid="{D5CDD505-2E9C-101B-9397-08002B2CF9AE}" pid="4" name="KSOTemplateDocerSaveRecord">
    <vt:lpwstr>eyJoZGlkIjoiZDdmNTRhNzJiNWRjNGJkNjQ3MzJkY2QzODIwYTAyYWMiLCJ1c2VySWQiOiI0MTAzODI5MzAifQ==</vt:lpwstr>
  </property>
</Properties>
</file>